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56c455533471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21279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BRAĆE RADIĆ, PRIDRAGA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676.587,58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745.808,60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668.569,30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742.922,28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8.018,28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2.886,32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6.686,23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44.361,84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6.686,23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44.361,84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41.475,52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: šifra 6 - 745.808,60 eura</w:t>
      </w:r>
      <w:r>
        <w:br/>
      </w:r>
      <w:r>
        <w:t xml:space="preserve">šifra 63-Pomoć iz inozemstva i od subjekata unutar općeg proračuna :649.194,31eura.Indeks u porastu (105,7)-  a čine ga povećanje prihoda na 6361-Tekuće pomoći proračunskih korisnicima iz proračuna koji im nije nadležan zbog povećanja osnovice za obračun prihoda kao i zbog upoošljavanja zamjena djelatnika na bolovanjima.6362-Kapitalne pomoći korisnicima iz proračuna koji im nije nadležan takožer indeks u laganom porastu a odnosi se na kupnju udžbenika i knjiga za knjižnicu.</w:t>
      </w:r>
      <w:r>
        <w:br/>
      </w:r>
      <w:r>
        <w:t xml:space="preserve">Šifra  66- Prihodi od najma školskog prostora, indeks je u padu jer u drugom dijelu godine nismo imali zainteresiranih za najam.</w:t>
      </w:r>
      <w:r>
        <w:br/>
      </w:r>
      <w:r>
        <w:t xml:space="preserve">Šifra 67-Prihodi od nadležnog proračuna za financiranje rashoda poslovanja.Indeks u blagom porasttu u odnosu na pethodnu godinu (107,00)</w:t>
      </w:r>
      <w:r>
        <w:br/>
      </w:r>
      <w:r>
        <w:t xml:space="preserve">Ukupni rashodi poslovanja: šifra 3-742.922,28 eura</w:t>
      </w:r>
      <w:r>
        <w:br/>
      </w:r>
      <w:r>
        <w:t xml:space="preserve">Šifra 31-Rashodi za zaposlene -595.847,40 eura , indeks u porastu (112,7 )</w:t>
      </w:r>
      <w:r>
        <w:br/>
      </w:r>
      <w:r>
        <w:t xml:space="preserve">Šifra 32-Materijalni rashodi:-146.979,33 eura , indeks u laganom porastu (105,5)</w:t>
      </w:r>
      <w:r>
        <w:br/>
      </w:r>
      <w:r>
        <w:t xml:space="preserve">Šifra 42-44.361,81 eura -Rashodi za nabavu prizvedene dugotrajne imovine, indeks u velikom porastu (663,5) jer smo u izvještajnom razdoblju uz običajnu nabavku udžbenika i nešto uredske opreme realizirali izradu projektne dokumentacije u iznosu 63.693,25 eura.</w:t>
      </w:r>
      <w:r>
        <w:br/>
      </w:r>
      <w:r>
        <w:t xml:space="preserve">Manjak prihoda i primitaka za pokriće u slijedećem  razdoblju za rshode za zaposlene i materijalne rashode iznosi 41.475,52 eura  ,a rezultat je promjena Pravilnika o proračunskom računovodstvu po kojem se rahodi iz izvještajnog razdoblja nisu mogli prenijeti i iduće. Manjak će  biti pokriven  u siječnju 2026. godine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V001-Stanjew obveza na početku obračunskog razdoblja  62.854,91 euro</w:t>
      </w:r>
      <w:r>
        <w:br/>
      </w:r>
      <w:r>
        <w:t xml:space="preserve">ŠIFRA  N23-Povećanje obveza u tijeku obračunskog razdoblja 698.471,52 eura</w:t>
      </w:r>
      <w:r>
        <w:br/>
      </w:r>
      <w:r>
        <w:t xml:space="preserve">Šifra V004 -Smanjenje  obveza u tijeku obračunskog razdoblja 746.511,85 eura</w:t>
      </w:r>
    </w:p>
    <w:p>
      <w:r>
        <w:t xml:space="preserve">ŠIFRA V006-Stanje obveza na kraju izvještajnog razdoblja -60.619,26 eura</w:t>
      </w:r>
    </w:p>
    <w:p>
      <w:r>
        <w:t xml:space="preserve">Obveze na dan 31.12.2025. godine nedospjele a čine ih:</w:t>
      </w:r>
    </w:p>
    <w:p>
      <w:r>
        <w:t xml:space="preserve">Obveze za plaće djelatnika 12/25.                   45.367,85 eura</w:t>
      </w:r>
      <w:r>
        <w:br/>
      </w:r>
      <w:r>
        <w:t xml:space="preserve">Obveze za materijalne rashode 12/25.               9.951,53 eura</w:t>
      </w:r>
      <w:r>
        <w:br/>
      </w:r>
      <w:r>
        <w:t xml:space="preserve">Ostale tekuće obveze                                          5.299,88 eura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aa22dc044d4fbd" /></Relationships>
</file>